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numPr>
          <w:ilvl w:val="0"/>
          <w:numId w:val="1"/>
        </w:numPr>
        <w:spacing w:line="240" w:lineRule="auto"/>
        <w:ind w:left="720" w:hanging="360"/>
        <w:rPr>
          <w:sz w:val="26"/>
          <w:szCs w:val="26"/>
        </w:rPr>
      </w:pPr>
      <w:r w:rsidDel="00000000" w:rsidR="00000000" w:rsidRPr="00000000">
        <w:rPr>
          <w:rtl w:val="0"/>
        </w:rPr>
        <w:t xml:space="preserve">Gestionar y canalizar las solicitudes de comunicación provenientes de las Secretarías, y dependencias, garantizando oportunidad en la producción de contenidos y en el cubrimiento de eventos institucionales.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Gestione y realice el cierre de 14 solicitudes que fueron programadas durante el periodo de 19 de abril al 18 de mayo.</w:t>
      </w:r>
    </w:p>
    <w:p w:rsidR="00000000" w:rsidDel="00000000" w:rsidP="00000000" w:rsidRDefault="00000000" w:rsidRPr="00000000" w14:paraId="00000004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731200" cy="21082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108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731200" cy="7620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